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EE1391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69E42907" w14:textId="2D41FF1D" w:rsidR="004A49AB" w:rsidRPr="00521B70" w:rsidRDefault="00A9567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EE1391">
        <w:rPr>
          <w:rFonts w:asciiTheme="majorHAnsi" w:hAnsiTheme="majorHAnsi" w:cstheme="majorHAnsi"/>
          <w:sz w:val="24"/>
          <w:szCs w:val="24"/>
        </w:rPr>
        <w:t>PPTL 20-</w:t>
      </w:r>
      <w:r w:rsidR="008020CB">
        <w:rPr>
          <w:rFonts w:asciiTheme="majorHAnsi" w:hAnsiTheme="majorHAnsi" w:cstheme="majorHAnsi"/>
          <w:sz w:val="24"/>
          <w:szCs w:val="24"/>
        </w:rPr>
        <w:t xml:space="preserve">37 </w:t>
      </w:r>
      <w:r w:rsidR="00FE3CA8" w:rsidRPr="00EE1391">
        <w:rPr>
          <w:rFonts w:asciiTheme="majorHAnsi" w:hAnsiTheme="majorHAnsi" w:cstheme="majorHAnsi"/>
          <w:sz w:val="24"/>
          <w:szCs w:val="24"/>
        </w:rPr>
        <w:t>SOP</w:t>
      </w:r>
      <w:r w:rsidR="00331929">
        <w:rPr>
          <w:rFonts w:asciiTheme="majorHAnsi" w:hAnsiTheme="majorHAnsi" w:cstheme="majorHAnsi"/>
          <w:sz w:val="24"/>
          <w:szCs w:val="24"/>
        </w:rPr>
        <w:t xml:space="preserve"> 2.11, 7.2, 7.4, 3.10, 3.12, 4.34, 4.36 and In Home Services Case Consultation.</w:t>
      </w:r>
      <w:proofErr w:type="gramEnd"/>
      <w:r w:rsidR="00331929">
        <w:rPr>
          <w:rFonts w:asciiTheme="majorHAnsi" w:hAnsiTheme="majorHAnsi" w:cstheme="majorHAnsi"/>
          <w:sz w:val="24"/>
          <w:szCs w:val="24"/>
        </w:rPr>
        <w:t xml:space="preserve">  </w:t>
      </w:r>
      <w:r w:rsidRPr="00EE1391">
        <w:rPr>
          <w:rFonts w:asciiTheme="majorHAnsi" w:hAnsiTheme="majorHAnsi" w:cstheme="majorHAnsi"/>
          <w:sz w:val="24"/>
          <w:szCs w:val="24"/>
        </w:rPr>
        <w:t xml:space="preserve">The following comments </w:t>
      </w:r>
      <w:proofErr w:type="gramStart"/>
      <w:r w:rsidRPr="00EE1391">
        <w:rPr>
          <w:rFonts w:asciiTheme="majorHAnsi" w:hAnsiTheme="majorHAnsi" w:cstheme="majorHAnsi"/>
          <w:sz w:val="24"/>
          <w:szCs w:val="24"/>
        </w:rPr>
        <w:t>were received</w:t>
      </w:r>
      <w:proofErr w:type="gramEnd"/>
      <w:r w:rsidRPr="00EE1391">
        <w:rPr>
          <w:rFonts w:asciiTheme="majorHAnsi" w:hAnsiTheme="majorHAnsi" w:cstheme="majorHAnsi"/>
          <w:sz w:val="24"/>
          <w:szCs w:val="24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EE1391">
        <w:rPr>
          <w:rFonts w:asciiTheme="majorHAnsi" w:hAnsiTheme="majorHAnsi" w:cstheme="majorHAnsi"/>
          <w:sz w:val="24"/>
          <w:szCs w:val="24"/>
        </w:rPr>
        <w:t>are excluded</w:t>
      </w:r>
      <w:proofErr w:type="gramEnd"/>
      <w:r w:rsidRPr="00EE1391">
        <w:rPr>
          <w:rFonts w:asciiTheme="majorHAnsi" w:hAnsiTheme="majorHAnsi" w:cstheme="majorHAnsi"/>
          <w:sz w:val="24"/>
          <w:szCs w:val="24"/>
        </w:rPr>
        <w:t>; these errors have been corrected as appropriate</w:t>
      </w:r>
    </w:p>
    <w:p w14:paraId="67606425" w14:textId="33A898F9" w:rsidR="00FF0720" w:rsidRPr="00EE1391" w:rsidRDefault="007B5F03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E1391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EB07E0">
        <w:rPr>
          <w:rFonts w:asciiTheme="majorHAnsi" w:hAnsiTheme="majorHAnsi" w:cstheme="majorHAnsi"/>
          <w:b/>
          <w:sz w:val="24"/>
          <w:szCs w:val="24"/>
          <w:u w:val="single"/>
        </w:rPr>
        <w:t xml:space="preserve">3.12 </w:t>
      </w:r>
    </w:p>
    <w:p w14:paraId="797B2C6E" w14:textId="614819BF" w:rsidR="00EB07E0" w:rsidRPr="005909CB" w:rsidRDefault="00A56E8E" w:rsidP="005909C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5909CB">
        <w:rPr>
          <w:rFonts w:asciiTheme="majorHAnsi" w:hAnsiTheme="majorHAnsi" w:cstheme="majorHAnsi"/>
          <w:b/>
          <w:sz w:val="24"/>
          <w:szCs w:val="24"/>
        </w:rPr>
        <w:t>Comment</w:t>
      </w:r>
      <w:r w:rsidR="00E07F79" w:rsidRPr="005909CB">
        <w:rPr>
          <w:rFonts w:asciiTheme="majorHAnsi" w:hAnsiTheme="majorHAnsi" w:cstheme="majorHAnsi"/>
          <w:b/>
          <w:sz w:val="24"/>
          <w:szCs w:val="24"/>
        </w:rPr>
        <w:t>:</w:t>
      </w:r>
      <w:r w:rsidR="00E07F79" w:rsidRPr="005909CB">
        <w:rPr>
          <w:rFonts w:asciiTheme="majorHAnsi" w:hAnsiTheme="majorHAnsi" w:cstheme="majorHAnsi"/>
          <w:sz w:val="24"/>
          <w:szCs w:val="24"/>
        </w:rPr>
        <w:t xml:space="preserve"> </w:t>
      </w:r>
      <w:r w:rsidR="006C2AC9" w:rsidRPr="005909CB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="00EB07E0" w:rsidRPr="005909CB">
        <w:rPr>
          <w:rFonts w:asciiTheme="majorHAnsi" w:hAnsiTheme="majorHAnsi" w:cstheme="majorHAnsi"/>
          <w:sz w:val="24"/>
          <w:szCs w:val="24"/>
        </w:rPr>
        <w:t xml:space="preserve">Will  </w:t>
      </w:r>
      <w:r w:rsidR="00641F3C" w:rsidRPr="005909CB">
        <w:rPr>
          <w:rFonts w:asciiTheme="majorHAnsi" w:hAnsiTheme="majorHAnsi" w:cstheme="majorHAnsi"/>
          <w:sz w:val="24"/>
          <w:szCs w:val="24"/>
        </w:rPr>
        <w:t>the</w:t>
      </w:r>
      <w:proofErr w:type="gramEnd"/>
      <w:r w:rsidR="00641F3C" w:rsidRPr="005909CB">
        <w:rPr>
          <w:rFonts w:asciiTheme="majorHAnsi" w:hAnsiTheme="majorHAnsi" w:cstheme="majorHAnsi"/>
          <w:sz w:val="24"/>
          <w:szCs w:val="24"/>
        </w:rPr>
        <w:t xml:space="preserve"> CP Eval template </w:t>
      </w:r>
      <w:r w:rsidR="00EB07E0" w:rsidRPr="005909CB">
        <w:rPr>
          <w:rFonts w:asciiTheme="majorHAnsi" w:hAnsiTheme="majorHAnsi" w:cstheme="majorHAnsi"/>
          <w:sz w:val="24"/>
          <w:szCs w:val="24"/>
        </w:rPr>
        <w:t xml:space="preserve"> be updated in </w:t>
      </w:r>
      <w:proofErr w:type="spellStart"/>
      <w:r w:rsidR="00EB07E0" w:rsidRPr="005909CB">
        <w:rPr>
          <w:rFonts w:asciiTheme="majorHAnsi" w:hAnsiTheme="majorHAnsi" w:cstheme="majorHAnsi"/>
          <w:sz w:val="24"/>
          <w:szCs w:val="24"/>
        </w:rPr>
        <w:t>iTWIST</w:t>
      </w:r>
      <w:proofErr w:type="spellEnd"/>
      <w:r w:rsidR="00EB07E0" w:rsidRPr="005909CB">
        <w:rPr>
          <w:rFonts w:asciiTheme="majorHAnsi" w:hAnsiTheme="majorHAnsi" w:cstheme="majorHAnsi"/>
          <w:sz w:val="24"/>
          <w:szCs w:val="24"/>
        </w:rPr>
        <w:t xml:space="preserve"> to match this SOP.</w:t>
      </w:r>
    </w:p>
    <w:p w14:paraId="68CD748F" w14:textId="2223DE0D" w:rsidR="005909CB" w:rsidRPr="005909CB" w:rsidRDefault="006C2AC9" w:rsidP="005909CB">
      <w:pPr>
        <w:ind w:left="1080"/>
        <w:rPr>
          <w:rFonts w:asciiTheme="majorHAnsi" w:hAnsiTheme="majorHAnsi" w:cstheme="majorHAnsi"/>
          <w:iCs/>
          <w:sz w:val="24"/>
          <w:szCs w:val="24"/>
        </w:rPr>
      </w:pPr>
      <w:r w:rsidRPr="005909CB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5F04A7" w:rsidRPr="005909C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5909CB" w:rsidRPr="005909CB">
        <w:rPr>
          <w:rFonts w:asciiTheme="majorHAnsi" w:hAnsiTheme="majorHAnsi" w:cstheme="majorHAnsi"/>
          <w:iCs/>
          <w:sz w:val="24"/>
          <w:szCs w:val="24"/>
        </w:rPr>
        <w:t xml:space="preserve">The current </w:t>
      </w:r>
      <w:proofErr w:type="gramStart"/>
      <w:r w:rsidR="005909CB" w:rsidRPr="005909CB">
        <w:rPr>
          <w:rFonts w:asciiTheme="majorHAnsi" w:hAnsiTheme="majorHAnsi" w:cstheme="majorHAnsi"/>
          <w:iCs/>
          <w:sz w:val="24"/>
          <w:szCs w:val="24"/>
        </w:rPr>
        <w:t>case plan evaluation template</w:t>
      </w:r>
      <w:proofErr w:type="gramEnd"/>
      <w:r w:rsidR="005909CB" w:rsidRPr="005909CB">
        <w:rPr>
          <w:rFonts w:asciiTheme="majorHAnsi" w:hAnsiTheme="majorHAnsi" w:cstheme="majorHAnsi"/>
          <w:iCs/>
          <w:sz w:val="24"/>
          <w:szCs w:val="24"/>
        </w:rPr>
        <w:t xml:space="preserve"> contains elements of assessment for both safety and risk separately. </w:t>
      </w:r>
      <w:r w:rsidR="005909CB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gramStart"/>
      <w:r w:rsidR="005909CB" w:rsidRPr="005909CB">
        <w:rPr>
          <w:rFonts w:asciiTheme="majorHAnsi" w:hAnsiTheme="majorHAnsi" w:cstheme="majorHAnsi"/>
          <w:iCs/>
          <w:sz w:val="24"/>
          <w:szCs w:val="24"/>
        </w:rPr>
        <w:t xml:space="preserve">DCBS is currently working on customizing safety and risk assessment tools and as </w:t>
      </w:r>
      <w:r w:rsidR="00E43A4C">
        <w:rPr>
          <w:rFonts w:asciiTheme="majorHAnsi" w:hAnsiTheme="majorHAnsi" w:cstheme="majorHAnsi"/>
          <w:iCs/>
          <w:sz w:val="24"/>
          <w:szCs w:val="24"/>
        </w:rPr>
        <w:t>those are</w:t>
      </w:r>
      <w:r w:rsidR="005909CB" w:rsidRPr="005909C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8020CB" w:rsidRPr="005909CB">
        <w:rPr>
          <w:rFonts w:asciiTheme="majorHAnsi" w:hAnsiTheme="majorHAnsi" w:cstheme="majorHAnsi"/>
          <w:iCs/>
          <w:sz w:val="24"/>
          <w:szCs w:val="24"/>
        </w:rPr>
        <w:t>complete</w:t>
      </w:r>
      <w:r w:rsidR="008020CB">
        <w:rPr>
          <w:rFonts w:asciiTheme="majorHAnsi" w:hAnsiTheme="majorHAnsi" w:cstheme="majorHAnsi"/>
          <w:iCs/>
          <w:sz w:val="24"/>
          <w:szCs w:val="24"/>
        </w:rPr>
        <w:t>d</w:t>
      </w:r>
      <w:proofErr w:type="gramEnd"/>
      <w:r w:rsidR="008020CB">
        <w:rPr>
          <w:rFonts w:asciiTheme="majorHAnsi" w:hAnsiTheme="majorHAnsi" w:cstheme="majorHAnsi"/>
          <w:iCs/>
          <w:sz w:val="24"/>
          <w:szCs w:val="24"/>
        </w:rPr>
        <w:t>; the</w:t>
      </w:r>
      <w:r w:rsidR="00E43A4C">
        <w:rPr>
          <w:rFonts w:asciiTheme="majorHAnsi" w:hAnsiTheme="majorHAnsi" w:cstheme="majorHAnsi"/>
          <w:iCs/>
          <w:sz w:val="24"/>
          <w:szCs w:val="24"/>
        </w:rPr>
        <w:t xml:space="preserve"> case plan evaluation template will be reviewed to determine if changes will be required. </w:t>
      </w:r>
    </w:p>
    <w:p w14:paraId="3D806A5A" w14:textId="2BEC5660" w:rsidR="006C2AC9" w:rsidRPr="006C2AC9" w:rsidRDefault="006C2AC9" w:rsidP="00EB07E0">
      <w:pPr>
        <w:pStyle w:val="ListParagraph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7E36A8B5" w14:textId="438464D8" w:rsidR="006C2AC9" w:rsidRPr="00EB07E0" w:rsidRDefault="00EB07E0" w:rsidP="006C2AC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B07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020CB">
        <w:rPr>
          <w:rFonts w:asciiTheme="majorHAnsi" w:hAnsiTheme="majorHAnsi" w:cstheme="majorHAnsi"/>
          <w:b/>
          <w:sz w:val="24"/>
          <w:szCs w:val="24"/>
          <w:u w:val="single"/>
        </w:rPr>
        <w:t>SOP 2.11,</w:t>
      </w:r>
      <w:bookmarkStart w:id="0" w:name="_GoBack"/>
      <w:bookmarkEnd w:id="0"/>
      <w:r w:rsidRPr="00EB07E0">
        <w:rPr>
          <w:rFonts w:asciiTheme="majorHAnsi" w:hAnsiTheme="majorHAnsi" w:cstheme="majorHAnsi"/>
          <w:b/>
          <w:sz w:val="24"/>
          <w:szCs w:val="24"/>
          <w:u w:val="single"/>
        </w:rPr>
        <w:t xml:space="preserve"> 7.2, 7.4, 3.10, 4.34, 4.36 and In Home Services Case Consultation.</w:t>
      </w:r>
    </w:p>
    <w:p w14:paraId="656C6469" w14:textId="3A513F86" w:rsidR="00EB07E0" w:rsidRDefault="00EB07E0" w:rsidP="006C2AC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7E0">
        <w:rPr>
          <w:rFonts w:asciiTheme="majorHAnsi" w:eastAsia="Calibri" w:hAnsiTheme="majorHAnsi" w:cstheme="majorHAnsi"/>
          <w:sz w:val="24"/>
          <w:szCs w:val="24"/>
        </w:rPr>
        <w:t xml:space="preserve">No comments. </w:t>
      </w:r>
    </w:p>
    <w:p w14:paraId="59FEDA5C" w14:textId="77777777" w:rsidR="00EB07E0" w:rsidRPr="00EB07E0" w:rsidRDefault="00EB07E0" w:rsidP="006C2AC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EB07E0" w:rsidRPr="00EB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26"/>
    <w:multiLevelType w:val="multilevel"/>
    <w:tmpl w:val="4C42099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B2530"/>
    <w:multiLevelType w:val="multilevel"/>
    <w:tmpl w:val="9A4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71ED"/>
    <w:multiLevelType w:val="multilevel"/>
    <w:tmpl w:val="C1125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A17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3525B"/>
    <w:multiLevelType w:val="hybridMultilevel"/>
    <w:tmpl w:val="6782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E4E8A"/>
    <w:multiLevelType w:val="multilevel"/>
    <w:tmpl w:val="B9860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MqoFALiQ7e4tAAAA"/>
  </w:docVars>
  <w:rsids>
    <w:rsidRoot w:val="004A49AB"/>
    <w:rsid w:val="00005640"/>
    <w:rsid w:val="000221AC"/>
    <w:rsid w:val="00053CFF"/>
    <w:rsid w:val="000623AD"/>
    <w:rsid w:val="000F69DE"/>
    <w:rsid w:val="00105BB0"/>
    <w:rsid w:val="001517FE"/>
    <w:rsid w:val="00192F41"/>
    <w:rsid w:val="001A2A62"/>
    <w:rsid w:val="001C3183"/>
    <w:rsid w:val="001D2536"/>
    <w:rsid w:val="001F3CDF"/>
    <w:rsid w:val="001F41C5"/>
    <w:rsid w:val="001F5873"/>
    <w:rsid w:val="00207745"/>
    <w:rsid w:val="00251039"/>
    <w:rsid w:val="0026086A"/>
    <w:rsid w:val="002869E9"/>
    <w:rsid w:val="00286D7F"/>
    <w:rsid w:val="002B762F"/>
    <w:rsid w:val="002F63DC"/>
    <w:rsid w:val="00331929"/>
    <w:rsid w:val="00342CEA"/>
    <w:rsid w:val="003437BB"/>
    <w:rsid w:val="003455A2"/>
    <w:rsid w:val="003609F1"/>
    <w:rsid w:val="00362E1A"/>
    <w:rsid w:val="00371EBD"/>
    <w:rsid w:val="00376BCC"/>
    <w:rsid w:val="003A615A"/>
    <w:rsid w:val="003D39A4"/>
    <w:rsid w:val="004007D1"/>
    <w:rsid w:val="00420EDC"/>
    <w:rsid w:val="0045550B"/>
    <w:rsid w:val="004766E5"/>
    <w:rsid w:val="004A07B6"/>
    <w:rsid w:val="004A49AB"/>
    <w:rsid w:val="004B0CDE"/>
    <w:rsid w:val="004D4B7E"/>
    <w:rsid w:val="004E10F3"/>
    <w:rsid w:val="004E3B69"/>
    <w:rsid w:val="004F3EC9"/>
    <w:rsid w:val="00521B70"/>
    <w:rsid w:val="00550A03"/>
    <w:rsid w:val="0057517A"/>
    <w:rsid w:val="00583CFB"/>
    <w:rsid w:val="005909CB"/>
    <w:rsid w:val="0059218F"/>
    <w:rsid w:val="005974C4"/>
    <w:rsid w:val="005A4E87"/>
    <w:rsid w:val="005B09C9"/>
    <w:rsid w:val="005B7E1E"/>
    <w:rsid w:val="005D51E1"/>
    <w:rsid w:val="005F04A7"/>
    <w:rsid w:val="005F21CC"/>
    <w:rsid w:val="006242CB"/>
    <w:rsid w:val="00641F3C"/>
    <w:rsid w:val="00653494"/>
    <w:rsid w:val="00666CA6"/>
    <w:rsid w:val="006C19BA"/>
    <w:rsid w:val="006C2AC9"/>
    <w:rsid w:val="006C70C9"/>
    <w:rsid w:val="00702A22"/>
    <w:rsid w:val="00716182"/>
    <w:rsid w:val="007442FC"/>
    <w:rsid w:val="0075574A"/>
    <w:rsid w:val="00765911"/>
    <w:rsid w:val="00780DD9"/>
    <w:rsid w:val="007946B1"/>
    <w:rsid w:val="007B5F03"/>
    <w:rsid w:val="007F4A3C"/>
    <w:rsid w:val="008020CB"/>
    <w:rsid w:val="00805A91"/>
    <w:rsid w:val="008366DB"/>
    <w:rsid w:val="00875C52"/>
    <w:rsid w:val="00882EEE"/>
    <w:rsid w:val="00A00E14"/>
    <w:rsid w:val="00A06021"/>
    <w:rsid w:val="00A07BBC"/>
    <w:rsid w:val="00A174A4"/>
    <w:rsid w:val="00A34260"/>
    <w:rsid w:val="00A56E8E"/>
    <w:rsid w:val="00A8339D"/>
    <w:rsid w:val="00A95674"/>
    <w:rsid w:val="00AD2B2D"/>
    <w:rsid w:val="00B07426"/>
    <w:rsid w:val="00B32FC5"/>
    <w:rsid w:val="00B33500"/>
    <w:rsid w:val="00B5321A"/>
    <w:rsid w:val="00B765F4"/>
    <w:rsid w:val="00B92FB2"/>
    <w:rsid w:val="00B9565D"/>
    <w:rsid w:val="00BC536E"/>
    <w:rsid w:val="00C02D42"/>
    <w:rsid w:val="00C03A1D"/>
    <w:rsid w:val="00C20D48"/>
    <w:rsid w:val="00C33AA7"/>
    <w:rsid w:val="00C36739"/>
    <w:rsid w:val="00C44A31"/>
    <w:rsid w:val="00C576D2"/>
    <w:rsid w:val="00C65DE0"/>
    <w:rsid w:val="00C806AC"/>
    <w:rsid w:val="00CF5A14"/>
    <w:rsid w:val="00D51B9C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43A4C"/>
    <w:rsid w:val="00E83947"/>
    <w:rsid w:val="00EB07E0"/>
    <w:rsid w:val="00EE1391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h2e xmlns="a79bd224-4819-40b2-aa9b-f8999d5b687f" xsi:nil="true"/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FC76-7DCC-433B-9B9C-6C6C0DD5DE78}"/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4.xml><?xml version="1.0" encoding="utf-8"?>
<ds:datastoreItem xmlns:ds="http://schemas.openxmlformats.org/officeDocument/2006/customXml" ds:itemID="{02256B70-BC3F-44E6-98A2-F8FDB3F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21-37 Statement of Consideration for SOP 2.11, 7.2, 7.4, 3.10, 3.12, 4.34, 4.36 and In Home Services Case Consultation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2021-08-26T20:51:00Z</dcterms:created>
  <dcterms:modified xsi:type="dcterms:W3CDTF">2021-08-26T20:51:00Z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